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pPr w:vertAnchor="page" w:horzAnchor="margin" w:tblpXSpec="center" w:tblpY="1668"/>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5"/>
        <w:gridCol w:w="300"/>
        <w:gridCol w:w="4230"/>
        <w:gridCol w:w="4462"/>
        <w:gridCol w:w="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hidden/>
        </w:trPr>
        <w:tc>
          <w:tcPr>
            <w:tcW w:w="9638" w:type="dxa"/>
            <w:gridSpan w:val="5"/>
            <w:tcBorders>
              <w:bottom w:val="thinThickSmallGap" w:color="FF4B00" w:sz="2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1000" w:lineRule="exact"/>
              <w:ind w:left="0" w:leftChars="0" w:right="0" w:rightChars="0" w:firstLine="0" w:firstLineChars="0"/>
              <w:jc w:val="center"/>
              <w:textAlignment w:val="baseline"/>
              <w:outlineLvl w:val="9"/>
              <w:rPr>
                <w:rFonts w:hint="eastAsia" w:ascii="方正小标宋简体" w:hAnsi="方正小标宋简体" w:eastAsia="方正小标宋简体"/>
                <w:color w:val="FF4B00"/>
                <w:spacing w:val="-4"/>
                <w:w w:val="66"/>
                <w:kern w:val="0"/>
                <w:sz w:val="84"/>
                <w:lang w:eastAsia="zh-CN"/>
              </w:rPr>
            </w:pPr>
            <w:bookmarkStart w:id="0" w:name="_GoBack"/>
            <w:bookmarkEnd w:id="0"/>
            <w:r>
              <w:rPr>
                <w:rFonts w:hint="eastAsia" w:ascii="方正小标宋简体" w:hAnsi="方正小标宋简体" w:eastAsia="方正小标宋简体"/>
                <w:snapToGrid/>
                <w:vanish w:val="0"/>
                <w:color w:val="FF4B00"/>
                <w:spacing w:val="-4"/>
                <w:w w:val="66"/>
                <w:kern w:val="0"/>
                <w:position w:val="0"/>
                <w:sz w:val="84"/>
                <w:lang w:eastAsia="zh-CN"/>
              </w:rPr>
              <w:t>佛山市顺德区住房城乡建设和水利局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jc w:val="center"/>
          <w:hidden/>
        </w:trPr>
        <w:tc>
          <w:tcPr>
            <w:tcW w:w="615" w:type="dxa"/>
            <w:gridSpan w:val="2"/>
            <w:tcBorders>
              <w:top w:val="thinThickSmallGap" w:color="FF4B00" w:sz="2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28" w:leftChars="200" w:right="170" w:rightChars="0" w:firstLine="0" w:firstLineChars="0"/>
              <w:jc w:val="left"/>
              <w:textAlignment w:val="baseline"/>
              <w:outlineLvl w:val="9"/>
              <w:rPr>
                <w:rFonts w:hint="eastAsia" w:ascii="仿宋_GB2312" w:hAnsi="仿宋_GB2312" w:eastAsia="仿宋_GB2312"/>
                <w:vanish w:val="0"/>
                <w:sz w:val="32"/>
                <w:lang w:eastAsia="zh-CN"/>
              </w:rPr>
            </w:pPr>
          </w:p>
        </w:tc>
        <w:tc>
          <w:tcPr>
            <w:tcW w:w="4230" w:type="dxa"/>
            <w:tcBorders>
              <w:top w:val="thinThickSmallGap" w:color="FF4B00" w:sz="2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170" w:rightChars="0" w:firstLine="0" w:firstLineChars="0"/>
              <w:jc w:val="both"/>
              <w:textAlignment w:val="baseline"/>
              <w:outlineLvl w:val="9"/>
              <w:rPr>
                <w:rFonts w:hint="eastAsia" w:ascii="黑体" w:hAnsi="黑体" w:eastAsia="黑体"/>
                <w:vanish w:val="0"/>
                <w:sz w:val="32"/>
                <w:lang w:eastAsia="zh-CN"/>
              </w:rPr>
            </w:pPr>
            <w:r>
              <w:rPr>
                <w:rFonts w:hint="eastAsia" w:ascii="黑体" w:hAnsi="黑体" w:eastAsia="黑体"/>
                <w:vanish w:val="0"/>
                <w:sz w:val="32"/>
                <w:lang w:eastAsia="zh-CN"/>
              </w:rPr>
              <w:t>主动公开</w:t>
            </w:r>
          </w:p>
        </w:tc>
        <w:tc>
          <w:tcPr>
            <w:tcW w:w="4462" w:type="dxa"/>
            <w:tcBorders>
              <w:top w:val="thinThickSmallGap" w:color="FF4B00" w:sz="24" w:space="0"/>
              <w:bottom w:val="nil"/>
            </w:tcBorders>
            <w:noWrap w:val="0"/>
            <w:vAlign w:val="center"/>
          </w:tcPr>
          <w:p>
            <w:pPr>
              <w:spacing w:line="640" w:lineRule="exact"/>
              <w:ind w:right="62" w:rightChars="0"/>
              <w:jc w:val="right"/>
              <w:textAlignment w:val="baseline"/>
              <w:rPr>
                <w:rFonts w:hint="eastAsia" w:ascii="仿宋_GB2312" w:hAnsi="仿宋_GB2312" w:eastAsia="仿宋_GB2312"/>
                <w:spacing w:val="0"/>
                <w:sz w:val="32"/>
                <w:lang w:val="en-US" w:eastAsia="zh-CN"/>
              </w:rPr>
            </w:pPr>
            <w:r>
              <w:rPr>
                <w:rFonts w:hint="eastAsia" w:ascii="仿宋_GB2312" w:hAnsi="仿宋_GB2312" w:eastAsia="仿宋_GB2312" w:cs="Times New Roman"/>
                <w:snapToGrid/>
                <w:vanish w:val="0"/>
                <w:color w:val="auto"/>
                <w:spacing w:val="0"/>
                <w:w w:val="100"/>
                <w:kern w:val="2"/>
                <w:position w:val="0"/>
                <w:sz w:val="32"/>
                <w:lang w:val="en-US" w:eastAsia="zh-CN"/>
              </w:rPr>
              <w:t xml:space="preserve"> </w:t>
            </w:r>
          </w:p>
        </w:tc>
        <w:tc>
          <w:tcPr>
            <w:tcW w:w="331" w:type="dxa"/>
            <w:tcBorders>
              <w:top w:val="thinThickSmallGap" w:color="FF4B00" w:sz="24" w:space="0"/>
              <w:bottom w:val="nil"/>
            </w:tcBorders>
            <w:noWrap w:val="0"/>
            <w:vAlign w:val="center"/>
          </w:tcPr>
          <w:p>
            <w:pPr>
              <w:spacing w:line="640" w:lineRule="exact"/>
              <w:ind w:right="-96"/>
              <w:jc w:val="left"/>
              <w:textAlignment w:val="baseline"/>
              <w:rPr>
                <w:rFonts w:hint="eastAsia" w:ascii="仿宋_GB2312" w:hAnsi="仿宋_GB2312" w:eastAsia="仿宋_GB2312"/>
                <w:spacing w:val="0"/>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2" w:hRule="atLeast"/>
          <w:jc w:val="center"/>
        </w:trPr>
        <w:tc>
          <w:tcPr>
            <w:tcW w:w="315" w:type="dxa"/>
            <w:tcBorders>
              <w:top w:val="nil"/>
              <w:right w:val="nil"/>
            </w:tcBorders>
            <w:noWrap w:val="0"/>
            <w:vAlign w:val="center"/>
          </w:tcPr>
          <w:p>
            <w:pPr>
              <w:keepNext w:val="0"/>
              <w:keepLines w:val="0"/>
              <w:pageBreakBefore w:val="0"/>
              <w:widowControl w:val="0"/>
              <w:numPr>
                <w:ilvl w:val="0"/>
                <w:numId w:val="0"/>
              </w:numPr>
              <w:kinsoku/>
              <w:wordWrap/>
              <w:autoSpaceDE/>
              <w:autoSpaceDN/>
              <w:snapToGrid/>
              <w:spacing w:before="0" w:beforeLines="0" w:beforeAutospacing="0" w:after="0" w:afterLines="0" w:afterAutospacing="0" w:line="700" w:lineRule="exact"/>
              <w:ind w:left="0" w:leftChars="0" w:right="0" w:firstLine="0" w:firstLineChars="0"/>
              <w:jc w:val="center"/>
              <w:textAlignment w:val="baseline"/>
              <w:outlineLvl w:val="9"/>
              <w:rPr>
                <w:rFonts w:hint="eastAsia" w:ascii="方正小标宋简体" w:hAnsi="方正小标宋简体" w:eastAsia="方正小标宋简体"/>
                <w:spacing w:val="0"/>
                <w:sz w:val="44"/>
                <w:lang w:eastAsia="zh-CN"/>
              </w:rPr>
            </w:pPr>
          </w:p>
        </w:tc>
        <w:tc>
          <w:tcPr>
            <w:tcW w:w="8992" w:type="dxa"/>
            <w:gridSpan w:val="3"/>
            <w:tcBorders>
              <w:top w:val="nil"/>
              <w:left w:val="nil"/>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佛山市顺德区住房城乡建设和水利局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关于物业服务企业积极配合做好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房屋建筑调查工作的通知</w:t>
            </w:r>
          </w:p>
        </w:tc>
        <w:tc>
          <w:tcPr>
            <w:tcW w:w="331" w:type="dxa"/>
            <w:tcBorders>
              <w:top w:val="nil"/>
              <w:left w:val="nil"/>
            </w:tcBorders>
            <w:noWrap w:val="0"/>
            <w:vAlign w:val="center"/>
          </w:tcPr>
          <w:p>
            <w:pPr>
              <w:keepNext w:val="0"/>
              <w:keepLines w:val="0"/>
              <w:pageBreakBefore w:val="0"/>
              <w:widowControl w:val="0"/>
              <w:numPr>
                <w:ilvl w:val="0"/>
                <w:numId w:val="0"/>
              </w:numPr>
              <w:kinsoku/>
              <w:wordWrap/>
              <w:autoSpaceDE/>
              <w:autoSpaceDN/>
              <w:snapToGrid/>
              <w:spacing w:before="0" w:beforeLines="0" w:beforeAutospacing="0" w:after="0" w:afterLines="0" w:afterAutospacing="0" w:line="700" w:lineRule="exact"/>
              <w:ind w:left="0" w:leftChars="0" w:right="0" w:firstLine="0" w:firstLineChars="0"/>
              <w:jc w:val="center"/>
              <w:textAlignment w:val="baseline"/>
              <w:outlineLvl w:val="9"/>
              <w:rPr>
                <w:rFonts w:hint="eastAsia" w:ascii="方正小标宋简体" w:hAnsi="方正小标宋简体" w:eastAsia="方正小标宋简体"/>
                <w:spacing w:val="0"/>
                <w:sz w:val="4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96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baseline"/>
              <w:outlineLvl w:val="9"/>
              <w:rPr>
                <w:rFonts w:hint="eastAsia" w:ascii="仿宋_GB2312" w:hAnsi="仿宋_GB2312" w:eastAsia="仿宋_GB2312"/>
                <w:spacing w:val="0"/>
                <w:sz w:val="32"/>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Times New Roman" w:hAnsi="Times New Roman" w:eastAsia="仿宋_GB2312" w:cs="Times New Roman"/>
          <w:snapToGrid/>
          <w:vanish w:val="0"/>
          <w:color w:val="auto"/>
          <w:spacing w:val="0"/>
          <w:w w:val="100"/>
          <w:kern w:val="2"/>
          <w:position w:val="0"/>
          <w:lang w:val="en-US" w:eastAsia="zh-CN"/>
        </w:rPr>
      </w:pPr>
      <w:r>
        <w:rPr>
          <w:rFonts w:hint="eastAsia" w:ascii="Times New Roman" w:hAnsi="Times New Roman" w:cs="Times New Roman"/>
          <w:snapToGrid/>
          <w:vanish w:val="0"/>
          <w:color w:val="auto"/>
          <w:spacing w:val="0"/>
          <w:w w:val="100"/>
          <w:kern w:val="2"/>
          <w:position w:val="0"/>
          <w:lang w:val="en-US" w:eastAsia="zh-CN"/>
        </w:rPr>
        <w:t>各物业服务企业：</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根据国务院办公厅印发《关于开展第一次全国自然灾害综合风险普查的通知》（国办发〔</w:t>
      </w:r>
      <w:r>
        <w:rPr>
          <w:rFonts w:hint="default" w:ascii="Times New Roman" w:hAnsi="Times New Roman" w:eastAsia="仿宋_GB2312" w:cs="Times New Roman"/>
          <w:spacing w:val="0"/>
          <w:kern w:val="2"/>
          <w:sz w:val="32"/>
          <w:szCs w:val="32"/>
          <w:lang w:val="en-US" w:eastAsia="zh-CN" w:bidi="ar"/>
        </w:rPr>
        <w:t>2021</w:t>
      </w:r>
      <w:r>
        <w:rPr>
          <w:rFonts w:hint="eastAsia"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12</w:t>
      </w:r>
      <w:r>
        <w:rPr>
          <w:rFonts w:hint="eastAsia" w:ascii="Times New Roman" w:hAnsi="Times New Roman" w:eastAsia="仿宋_GB2312" w:cs="Times New Roman"/>
          <w:spacing w:val="0"/>
          <w:kern w:val="2"/>
          <w:sz w:val="32"/>
          <w:szCs w:val="32"/>
          <w:lang w:val="en-US" w:eastAsia="zh-CN" w:bidi="ar"/>
        </w:rPr>
        <w:t>号）和《广东省人民政府办公厅关于印发广东省城镇房屋建筑安全风险排查整治行动方案的通知》（粤办函〔</w:t>
      </w:r>
      <w:r>
        <w:rPr>
          <w:rFonts w:hint="default" w:ascii="Times New Roman" w:hAnsi="Times New Roman" w:eastAsia="仿宋_GB2312" w:cs="Times New Roman"/>
          <w:spacing w:val="0"/>
          <w:kern w:val="2"/>
          <w:sz w:val="32"/>
          <w:szCs w:val="32"/>
          <w:lang w:val="en-US" w:eastAsia="zh-CN" w:bidi="ar"/>
        </w:rPr>
        <w:t>2021</w:t>
      </w:r>
      <w:r>
        <w:rPr>
          <w:rFonts w:hint="eastAsia"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281</w:t>
      </w:r>
      <w:r>
        <w:rPr>
          <w:rFonts w:hint="eastAsia" w:ascii="Times New Roman" w:hAnsi="Times New Roman" w:eastAsia="仿宋_GB2312" w:cs="Times New Roman"/>
          <w:spacing w:val="0"/>
          <w:kern w:val="2"/>
          <w:sz w:val="32"/>
          <w:szCs w:val="32"/>
          <w:lang w:val="en-US" w:eastAsia="zh-CN" w:bidi="ar"/>
        </w:rPr>
        <w:t>号）等文件的统一部署，在区政府办公室和区灾普办的有关安排下，我局正在牵头开展顺德区第一次全国自然灾害综合风险普查房屋建筑承灾体调查及城镇房屋建筑安全风险排查项目（简称</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Times New Roman"/>
          <w:spacing w:val="0"/>
          <w:kern w:val="2"/>
          <w:sz w:val="32"/>
          <w:szCs w:val="32"/>
          <w:lang w:val="en-US" w:eastAsia="zh-CN" w:bidi="ar"/>
        </w:rPr>
        <w:t>两查</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Times New Roman"/>
          <w:spacing w:val="0"/>
          <w:kern w:val="2"/>
          <w:sz w:val="32"/>
          <w:szCs w:val="32"/>
          <w:lang w:val="en-US" w:eastAsia="zh-CN" w:bidi="ar"/>
        </w:rPr>
        <w:t>项目）。</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为高效优质完成好各物业管理区域内既有房屋建筑的“两查”工作，现就相关事项通知如下，</w:t>
      </w:r>
      <w:r>
        <w:rPr>
          <w:rFonts w:hint="eastAsia" w:ascii="Times New Roman" w:hAnsi="Times New Roman" w:cs="Times New Roman"/>
          <w:spacing w:val="0"/>
          <w:kern w:val="2"/>
          <w:sz w:val="32"/>
          <w:szCs w:val="32"/>
          <w:lang w:val="en-US" w:eastAsia="zh-CN" w:bidi="ar"/>
        </w:rPr>
        <w:t>希</w:t>
      </w:r>
      <w:r>
        <w:rPr>
          <w:rFonts w:hint="eastAsia" w:ascii="Times New Roman" w:hAnsi="Times New Roman" w:eastAsia="仿宋_GB2312" w:cs="Times New Roman"/>
          <w:spacing w:val="0"/>
          <w:kern w:val="2"/>
          <w:sz w:val="32"/>
          <w:szCs w:val="32"/>
          <w:lang w:val="en-US" w:eastAsia="zh-CN" w:bidi="ar"/>
        </w:rPr>
        <w:t>认真遵照执行。</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一、各住宅小区、商业体、写字楼、工业园区的物业服务企业</w:t>
      </w:r>
      <w:r>
        <w:rPr>
          <w:rFonts w:hint="eastAsia" w:ascii="Times New Roman" w:hAnsi="Times New Roman" w:cs="Times New Roman"/>
          <w:spacing w:val="0"/>
          <w:kern w:val="2"/>
          <w:sz w:val="32"/>
          <w:szCs w:val="32"/>
          <w:lang w:val="en-US" w:eastAsia="zh-CN" w:bidi="ar"/>
        </w:rPr>
        <w:t>应当</w:t>
      </w:r>
      <w:r>
        <w:rPr>
          <w:rFonts w:hint="eastAsia" w:ascii="Times New Roman" w:hAnsi="Times New Roman" w:eastAsia="仿宋_GB2312" w:cs="Times New Roman"/>
          <w:spacing w:val="0"/>
          <w:kern w:val="2"/>
          <w:sz w:val="32"/>
          <w:szCs w:val="32"/>
          <w:lang w:val="en-US" w:eastAsia="zh-CN" w:bidi="ar"/>
        </w:rPr>
        <w:t>认真</w:t>
      </w:r>
      <w:r>
        <w:rPr>
          <w:rFonts w:hint="eastAsia" w:ascii="Times New Roman" w:hAnsi="Times New Roman" w:cs="Times New Roman"/>
          <w:spacing w:val="0"/>
          <w:kern w:val="2"/>
          <w:sz w:val="32"/>
          <w:szCs w:val="32"/>
          <w:lang w:val="en-US" w:eastAsia="zh-CN" w:bidi="ar"/>
        </w:rPr>
        <w:t>清点、</w:t>
      </w:r>
      <w:r>
        <w:rPr>
          <w:rFonts w:hint="eastAsia" w:ascii="Times New Roman" w:hAnsi="Times New Roman" w:eastAsia="仿宋_GB2312" w:cs="Times New Roman"/>
          <w:spacing w:val="0"/>
          <w:kern w:val="2"/>
          <w:sz w:val="32"/>
          <w:szCs w:val="32"/>
          <w:lang w:val="en-US" w:eastAsia="zh-CN" w:bidi="ar"/>
        </w:rPr>
        <w:t>核实各自物业管理区域内的建筑物（以独立的单栋建筑物为调查单位）情况，收集整理建筑物建设管理的相关资料（包括竣工验收图纸、竣工验收备案资料、房屋不动产登记资料、维修加固情况的资料等），充分了解各栋建筑物的建设情况和使用管理情况，并填写</w:t>
      </w:r>
      <w:r>
        <w:rPr>
          <w:rFonts w:hint="eastAsia" w:ascii="Times New Roman" w:hAnsi="Times New Roman" w:cs="Times New Roman"/>
          <w:spacing w:val="0"/>
          <w:kern w:val="2"/>
          <w:sz w:val="32"/>
          <w:szCs w:val="32"/>
          <w:lang w:val="en-US" w:eastAsia="zh-CN" w:bidi="ar"/>
        </w:rPr>
        <w:t>好</w:t>
      </w:r>
      <w:r>
        <w:rPr>
          <w:rFonts w:hint="eastAsia" w:ascii="Times New Roman" w:hAnsi="Times New Roman" w:eastAsia="仿宋_GB2312" w:cs="Times New Roman"/>
          <w:spacing w:val="0"/>
          <w:kern w:val="2"/>
          <w:sz w:val="32"/>
          <w:szCs w:val="32"/>
          <w:lang w:val="en-US" w:eastAsia="zh-CN" w:bidi="ar"/>
        </w:rPr>
        <w:t>附件资料备用。</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eastAsia"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t>二、待政府部门安排的房屋调查人员上门开展外业调查时，给予充分的协助和支持，提供一切必要的便利条件，确保房屋调查工作的顺利完成。</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kern w:val="2"/>
          <w:sz w:val="32"/>
          <w:szCs w:val="32"/>
          <w:lang w:val="en-US" w:eastAsia="zh-CN" w:bidi="ar"/>
        </w:rPr>
      </w:pPr>
      <w:r>
        <w:rPr>
          <w:rFonts w:hint="eastAsia" w:ascii="Times New Roman" w:hAnsi="Times New Roman" w:cs="Times New Roman"/>
          <w:spacing w:val="0"/>
          <w:kern w:val="2"/>
          <w:sz w:val="32"/>
          <w:szCs w:val="32"/>
          <w:lang w:val="en-US" w:eastAsia="zh-CN" w:bidi="ar"/>
        </w:rPr>
        <w:t>三、在我区“两查”工作全部完成后，我局将根据居（村） 委会对企业配合开展该项工作的评价，对企业予以诚信加分或扣分。</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特此通知。</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附件：</w:t>
      </w:r>
      <w:r>
        <w:rPr>
          <w:rFonts w:hint="default" w:ascii="Times New Roman" w:hAnsi="Times New Roman" w:eastAsia="仿宋_GB2312" w:cs="Times New Roman"/>
          <w:spacing w:val="0"/>
          <w:kern w:val="2"/>
          <w:sz w:val="32"/>
          <w:szCs w:val="32"/>
          <w:lang w:val="en-US" w:eastAsia="zh-CN" w:bidi="ar"/>
        </w:rPr>
        <w:t>1</w:t>
      </w:r>
      <w:r>
        <w:rPr>
          <w:rFonts w:hint="eastAsia" w:ascii="Times New Roman" w:hAnsi="Times New Roman" w:eastAsia="仿宋_GB2312" w:cs="Times New Roman"/>
          <w:spacing w:val="0"/>
          <w:kern w:val="2"/>
          <w:sz w:val="32"/>
          <w:szCs w:val="32"/>
          <w:lang w:val="en-US" w:eastAsia="zh-CN" w:bidi="ar"/>
        </w:rPr>
        <w:t>．城镇既有住宅建筑调查信息采集表</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　　　</w:t>
      </w:r>
      <w:r>
        <w:rPr>
          <w:rFonts w:hint="default" w:ascii="Times New Roman" w:hAnsi="Times New Roman" w:eastAsia="仿宋_GB2312" w:cs="Times New Roman"/>
          <w:spacing w:val="0"/>
          <w:kern w:val="2"/>
          <w:sz w:val="32"/>
          <w:szCs w:val="32"/>
          <w:lang w:val="en-US" w:eastAsia="zh-CN" w:bidi="ar"/>
        </w:rPr>
        <w:t>2</w:t>
      </w:r>
      <w:r>
        <w:rPr>
          <w:rFonts w:hint="eastAsia" w:ascii="Times New Roman" w:hAnsi="Times New Roman" w:eastAsia="仿宋_GB2312" w:cs="Times New Roman"/>
          <w:spacing w:val="0"/>
          <w:kern w:val="2"/>
          <w:sz w:val="32"/>
          <w:szCs w:val="32"/>
          <w:lang w:val="en-US" w:eastAsia="zh-CN" w:bidi="ar"/>
        </w:rPr>
        <w:t>．城镇既有非住宅建筑调查信息采集表</w:t>
      </w: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p>
    <w:p>
      <w:pPr>
        <w:keepNext w:val="0"/>
        <w:keepLines w:val="0"/>
        <w:widowControl w:val="0"/>
        <w:suppressLineNumbers w:val="0"/>
        <w:spacing w:before="0" w:beforeLines="0" w:beforeAutospacing="0" w:after="0" w:afterLines="0" w:afterAutospacing="0" w:line="560" w:lineRule="exact"/>
        <w:ind w:left="0" w:right="0" w:firstLine="652" w:firstLineChars="200"/>
        <w:jc w:val="both"/>
        <w:rPr>
          <w:rFonts w:hint="default" w:ascii="Times New Roman" w:hAnsi="Times New Roman" w:eastAsia="仿宋_GB2312" w:cs="Times New Roman"/>
          <w:spacing w:val="0"/>
          <w:sz w:val="32"/>
          <w:szCs w:val="32"/>
          <w:lang w:val="en-US"/>
        </w:rPr>
      </w:pPr>
    </w:p>
    <w:p>
      <w:pPr>
        <w:keepNext w:val="0"/>
        <w:keepLines w:val="0"/>
        <w:widowControl w:val="0"/>
        <w:suppressLineNumbers w:val="0"/>
        <w:spacing w:before="0" w:beforeLines="0" w:beforeAutospacing="0" w:after="0" w:afterLines="0" w:afterAutospacing="0" w:line="560" w:lineRule="exact"/>
        <w:ind w:left="0" w:right="0" w:firstLine="2771" w:firstLineChars="850"/>
        <w:jc w:val="both"/>
        <w:rPr>
          <w:rFonts w:hint="default" w:ascii="Times New Roman" w:hAnsi="Times New Roman" w:eastAsia="仿宋_GB2312" w:cs="Times New Roman"/>
          <w:spacing w:val="0"/>
          <w:sz w:val="32"/>
          <w:szCs w:val="32"/>
          <w:lang w:val="en-US"/>
        </w:rPr>
      </w:pPr>
      <w:r>
        <w:rPr>
          <w:rFonts w:hint="eastAsia" w:ascii="Times New Roman" w:hAnsi="Times New Roman" w:eastAsia="仿宋_GB2312" w:cs="Times New Roman"/>
          <w:spacing w:val="0"/>
          <w:kern w:val="2"/>
          <w:sz w:val="32"/>
          <w:szCs w:val="32"/>
          <w:lang w:val="en-US" w:eastAsia="zh-CN" w:bidi="ar"/>
        </w:rPr>
        <w:t>佛山市顺德区住房城乡建设和水利局</w:t>
      </w:r>
    </w:p>
    <w:p>
      <w:pPr>
        <w:keepNext w:val="0"/>
        <w:keepLines w:val="0"/>
        <w:widowControl w:val="0"/>
        <w:suppressLineNumbers w:val="0"/>
        <w:spacing w:before="0" w:beforeLines="0" w:beforeAutospacing="0" w:after="0" w:afterLines="0" w:afterAutospacing="0" w:line="560" w:lineRule="exact"/>
        <w:ind w:left="0" w:right="0" w:firstLine="3912" w:firstLineChars="1200"/>
        <w:jc w:val="both"/>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0"/>
          <w:kern w:val="2"/>
          <w:sz w:val="32"/>
          <w:szCs w:val="32"/>
          <w:lang w:val="en-US" w:eastAsia="zh-CN" w:bidi="ar"/>
        </w:rPr>
        <w:t>2022</w:t>
      </w:r>
      <w:r>
        <w:rPr>
          <w:rFonts w:hint="eastAsia" w:ascii="Times New Roman" w:hAnsi="Times New Roman" w:eastAsia="仿宋_GB2312" w:cs="Times New Roman"/>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2</w:t>
      </w:r>
      <w:r>
        <w:rPr>
          <w:rFonts w:hint="eastAsia" w:ascii="Times New Roman" w:hAnsi="Times New Roman" w:eastAsia="仿宋_GB2312" w:cs="Times New Roman"/>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1</w:t>
      </w:r>
      <w:r>
        <w:rPr>
          <w:rFonts w:hint="eastAsia" w:ascii="Times New Roman" w:hAnsi="Times New Roman" w:cs="Times New Roman"/>
          <w:spacing w:val="0"/>
          <w:kern w:val="2"/>
          <w:sz w:val="32"/>
          <w:szCs w:val="32"/>
          <w:lang w:val="en-US" w:eastAsia="zh-CN" w:bidi="ar"/>
        </w:rPr>
        <w:t>7</w:t>
      </w:r>
      <w:r>
        <w:rPr>
          <w:rFonts w:hint="eastAsia" w:ascii="Times New Roman" w:hAnsi="Times New Roman" w:eastAsia="仿宋_GB2312" w:cs="Times New Roman"/>
          <w:spacing w:val="0"/>
          <w:kern w:val="2"/>
          <w:sz w:val="32"/>
          <w:szCs w:val="32"/>
          <w:lang w:val="en-US" w:eastAsia="zh-CN" w:bidi="ar"/>
        </w:rPr>
        <w:t>日</w:t>
      </w:r>
    </w:p>
    <w:p>
      <w:pPr>
        <w:keepNext w:val="0"/>
        <w:keepLines w:val="0"/>
        <w:widowControl/>
        <w:suppressLineNumbers w:val="0"/>
        <w:spacing w:beforeLines="0" w:afterLines="0" w:line="560" w:lineRule="exact"/>
        <w:jc w:val="both"/>
        <w:rPr>
          <w:rFonts w:ascii="Times New Roman" w:hAnsi="Times New Roman" w:cs="Times New Roman"/>
          <w:spacing w:val="0"/>
        </w:rPr>
      </w:pPr>
      <w:r>
        <w:rPr>
          <w:rFonts w:hint="eastAsia" w:ascii="Times New Roman" w:hAnsi="Times New Roman" w:eastAsia="仿宋_GB2312" w:cs="Times New Roman"/>
          <w:spacing w:val="0"/>
          <w:kern w:val="2"/>
          <w:sz w:val="32"/>
          <w:szCs w:val="32"/>
          <w:lang w:val="en-US" w:eastAsia="zh-CN" w:bidi="ar"/>
        </w:rPr>
        <w:t>（联系人：梁锐深、冼健文，联系电话：</w:t>
      </w:r>
      <w:r>
        <w:rPr>
          <w:rFonts w:hint="default" w:ascii="Times New Roman" w:hAnsi="Times New Roman" w:eastAsia="仿宋_GB2312" w:cs="Times New Roman"/>
          <w:spacing w:val="0"/>
          <w:kern w:val="2"/>
          <w:sz w:val="32"/>
          <w:szCs w:val="32"/>
          <w:lang w:val="en-US" w:eastAsia="zh-CN" w:bidi="ar"/>
        </w:rPr>
        <w:t>22837230</w:t>
      </w:r>
      <w:r>
        <w:rPr>
          <w:rFonts w:hint="eastAsia"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22837029</w:t>
      </w:r>
      <w:r>
        <w:rPr>
          <w:rFonts w:hint="eastAsia" w:ascii="Times New Roman" w:hAnsi="Times New Roman" w:eastAsia="仿宋_GB2312" w:cs="Times New Roman"/>
          <w:spacing w:val="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Times New Roman" w:hAnsi="Times New Roman" w:eastAsia="仿宋_GB2312" w:cs="Times New Roman"/>
          <w:spacing w:val="0"/>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rPr>
      </w:pPr>
    </w:p>
    <w:p>
      <w:pPr>
        <w:spacing w:line="0" w:lineRule="atLeast"/>
        <w:jc w:val="left"/>
        <w:rPr>
          <w:rFonts w:hint="eastAsia" w:ascii="仿宋_GB2312" w:hAnsi="仿宋_GB2312" w:eastAsia="仿宋_GB2312"/>
        </w:rPr>
      </w:pPr>
    </w:p>
    <w:tbl>
      <w:tblPr>
        <w:tblStyle w:val="4"/>
        <w:tblpPr w:leftFromText="180" w:rightFromText="180" w:horzAnchor="margin" w:tblpXSpec="center" w:tblpY="12076"/>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7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50" w:hRule="atLeast"/>
          <w:jc w:val="center"/>
        </w:trPr>
        <w:tc>
          <w:tcPr>
            <w:tcW w:w="1190" w:type="dxa"/>
            <w:tcBorders>
              <w:top w:val="nil"/>
              <w:bottom w:val="nil"/>
            </w:tcBorders>
            <w:noWrap w:val="0"/>
            <w:vAlign w:val="center"/>
          </w:tcPr>
          <w:p>
            <w:pPr>
              <w:rPr>
                <w:rFonts w:hint="eastAsia" w:ascii="仿宋_GB2312" w:hAnsi="仿宋_GB2312" w:eastAsia="仿宋_GB2312" w:cs="Times New Roman"/>
                <w:snapToGrid/>
                <w:color w:val="auto"/>
                <w:spacing w:val="0"/>
                <w:w w:val="100"/>
                <w:position w:val="0"/>
                <w:sz w:val="28"/>
              </w:rPr>
            </w:pPr>
            <w:r>
              <w:rPr>
                <w:rFonts w:hint="eastAsia" w:ascii="仿宋_GB2312" w:hAnsi="仿宋_GB2312" w:cs="Times New Roman"/>
                <w:snapToGrid/>
                <w:color w:val="auto"/>
                <w:spacing w:val="0"/>
                <w:w w:val="100"/>
                <w:position w:val="0"/>
                <w:sz w:val="28"/>
                <w:lang w:eastAsia="zh-CN"/>
              </w:rPr>
              <w:t>　抄送：</w:t>
            </w:r>
          </w:p>
        </w:tc>
        <w:tc>
          <w:tcPr>
            <w:tcW w:w="7642" w:type="dxa"/>
            <w:tcBorders>
              <w:top w:val="nil"/>
              <w:bottom w:val="nil"/>
            </w:tcBorders>
            <w:noWrap w:val="0"/>
            <w:vAlign w:val="center"/>
          </w:tcPr>
          <w:p>
            <w:pPr>
              <w:rPr>
                <w:rFonts w:hint="eastAsia" w:ascii="仿宋_GB2312" w:hAnsi="仿宋_GB2312" w:eastAsia="仿宋_GB2312" w:cs="Times New Roman"/>
                <w:b w:val="0"/>
                <w:bCs w:val="0"/>
                <w:snapToGrid/>
                <w:color w:val="auto"/>
                <w:spacing w:val="0"/>
                <w:w w:val="100"/>
                <w:position w:val="0"/>
                <w:sz w:val="28"/>
                <w:lang w:eastAsia="zh-CN"/>
              </w:rPr>
            </w:pPr>
            <w:r>
              <w:rPr>
                <w:rFonts w:hint="eastAsia" w:ascii="仿宋_GB2312" w:hAnsi="仿宋_GB2312" w:cs="Times New Roman"/>
                <w:b w:val="0"/>
                <w:bCs w:val="0"/>
                <w:snapToGrid/>
                <w:color w:val="auto"/>
                <w:spacing w:val="0"/>
                <w:w w:val="100"/>
                <w:position w:val="0"/>
                <w:sz w:val="28"/>
                <w:lang w:eastAsia="zh-CN"/>
              </w:rPr>
              <w:t>各镇（街道）城建和水利办公室，区物业管理协会。</w:t>
            </w:r>
          </w:p>
        </w:tc>
      </w:tr>
    </w:tbl>
    <w:p>
      <w:pPr>
        <w:tabs>
          <w:tab w:val="left" w:pos="687"/>
        </w:tabs>
        <w:jc w:val="left"/>
        <w:rPr>
          <w:rFonts w:hint="eastAsia" w:ascii="仿宋_GB2312" w:hAnsi="仿宋_GB2312" w:eastAsia="仿宋_GB2312"/>
          <w:lang w:val="en-US" w:eastAsia="zh-CN"/>
        </w:rPr>
      </w:pPr>
    </w:p>
    <w:sectPr>
      <w:footerReference r:id="rId6" w:type="first"/>
      <w:footerReference r:id="rId5" w:type="default"/>
      <w:pgSz w:w="11906" w:h="16838"/>
      <w:pgMar w:top="2097" w:right="1474" w:bottom="1984" w:left="1587" w:header="851" w:footer="992" w:gutter="0"/>
      <w:paperSrc/>
      <w:cols w:space="720" w:num="1"/>
      <w:titlePg/>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kinsoku/>
      <w:wordWrap/>
      <w:overflowPunct w:val="0"/>
      <w:topLinePunct w:val="0"/>
      <w:autoSpaceDE w:val="0"/>
      <w:autoSpaceDN w:val="0"/>
      <w:bidi w:val="0"/>
      <w:adjustRightInd w:val="0"/>
      <w:snapToGrid/>
      <w:spacing w:before="0" w:beforeLines="0" w:after="0" w:afterLines="0" w:line="576" w:lineRule="exact"/>
      <w:ind w:left="0" w:leftChars="0"/>
      <w:jc w:val="both"/>
      <w:textAlignment w:val="baseline"/>
      <w:outlineLvl w:val="9"/>
      <w:rPr>
        <w:rStyle w:val="6"/>
        <w:sz w:val="28"/>
      </w:rPr>
    </w:pPr>
    <w:r>
      <w:rPr>
        <w:rStyle w:val="6"/>
        <w:sz w:val="28"/>
      </w:rPr>
      <w:t>—</w:t>
    </w:r>
    <w:r>
      <w:rPr>
        <w:rStyle w:val="6"/>
        <w:rFonts w:hint="eastAsia"/>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sz w:val="28"/>
      </w:rPr>
      <w:t xml:space="preserve"> </w:t>
    </w:r>
    <w:r>
      <w:rPr>
        <w:rStyle w:val="6"/>
        <w:sz w:val="28"/>
      </w:rPr>
      <w:t>—</w:t>
    </w:r>
  </w:p>
  <w:p>
    <w:pPr>
      <w:pStyle w:val="2"/>
      <w:keepNext w:val="0"/>
      <w:keepLines w:val="0"/>
      <w:pageBreakBefore w:val="0"/>
      <w:widowControl w:val="0"/>
      <w:kinsoku/>
      <w:wordWrap/>
      <w:overflowPunct w:val="0"/>
      <w:topLinePunct w:val="0"/>
      <w:autoSpaceDE w:val="0"/>
      <w:autoSpaceDN w:val="0"/>
      <w:bidi w:val="0"/>
      <w:adjustRightInd w:val="0"/>
      <w:snapToGrid/>
      <w:spacing w:before="0" w:beforeLines="0" w:after="0" w:afterLines="0" w:line="576" w:lineRule="exact"/>
      <w:ind w:left="0" w:leftChars="0" w:right="360" w:rightChars="0" w:firstLine="360" w:firstLineChars="0"/>
      <w:jc w:val="both"/>
      <w:textAlignment w:val="baseline"/>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lang/>
      </w:rPr>
      <mc:AlternateContent>
        <mc:Choice Requires="wps">
          <w:drawing>
            <wp:anchor distT="0" distB="0" distL="114935" distR="114935" simplePos="0" relativeHeight="251659264" behindDoc="0" locked="0" layoutInCell="1" allowOverlap="1">
              <wp:simplePos x="0" y="0"/>
              <wp:positionH relativeFrom="column">
                <wp:posOffset>-225425</wp:posOffset>
              </wp:positionH>
              <wp:positionV relativeFrom="paragraph">
                <wp:posOffset>97790</wp:posOffset>
              </wp:positionV>
              <wp:extent cx="6047740" cy="635"/>
              <wp:effectExtent l="0" t="34925" r="10160" b="40640"/>
              <wp:wrapNone/>
              <wp:docPr id="1" name="直线 1"/>
              <wp:cNvGraphicFramePr/>
              <a:graphic xmlns:a="http://schemas.openxmlformats.org/drawingml/2006/main">
                <a:graphicData uri="http://schemas.microsoft.com/office/word/2010/wordprocessingShape">
                  <wps:wsp>
                    <wps:cNvSpPr/>
                    <wps:spPr>
                      <a:xfrm>
                        <a:off x="0" y="0"/>
                        <a:ext cx="6047740" cy="635"/>
                      </a:xfrm>
                      <a:prstGeom prst="line">
                        <a:avLst/>
                      </a:prstGeom>
                      <a:ln w="69850" cap="flat" cmpd="thinThick">
                        <a:solidFill>
                          <a:srgbClr val="FF4B00"/>
                        </a:solidFill>
                        <a:prstDash val="solid"/>
                        <a:headEnd type="none" w="med" len="med"/>
                        <a:tailEnd type="none" w="med" len="med"/>
                      </a:ln>
                    </wps:spPr>
                    <wps:bodyPr upright="1"/>
                  </wps:wsp>
                </a:graphicData>
              </a:graphic>
            </wp:anchor>
          </w:drawing>
        </mc:Choice>
        <mc:Fallback>
          <w:pict>
            <v:line id="直线 1" o:spid="_x0000_s1026" o:spt="20" style="position:absolute;left:0pt;margin-left:-17.75pt;margin-top:7.7pt;height:0.05pt;width:476.2pt;z-index:251659264;mso-width-relative:page;mso-height-relative:page;" filled="f" stroked="t" coordsize="21600,21600" o:gfxdata="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VcQSrXAAAACQEAAA8AAAAAAAAAAQAgAAAAIgAAAGRycy9kb3ducmV2LnhtbFBLAQIUABQA&#10;AAAIAIdO4kB415gH8QEAAOQDAAAOAAAAAAAAAAEAIAAAACYBAABkcnMvZTJvRG9jLnhtbFBLBQYA&#10;AAAABgAGAFkBAACJBQAAAAA=&#10;">
              <v:fill on="f" focussize="0,0"/>
              <v:stroke weight="5.5pt" color="#FF4B00" linestyle="thinThick" joinstyle="round"/>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720"/>
  <w:hyphenationZone w:val="360"/>
  <w:drawingGridHorizontalSpacing w:val="157"/>
  <w:drawingGridVerticalSpacing w:val="579"/>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A6848"/>
    <w:rsid w:val="104D1123"/>
    <w:rsid w:val="15F535D2"/>
    <w:rsid w:val="31D0347B"/>
    <w:rsid w:val="498A6558"/>
    <w:rsid w:val="4A860A44"/>
    <w:rsid w:val="4EC877AF"/>
    <w:rsid w:val="4F5C7638"/>
    <w:rsid w:val="548E64B9"/>
    <w:rsid w:val="5598488D"/>
    <w:rsid w:val="5CA67937"/>
    <w:rsid w:val="608B63AB"/>
    <w:rsid w:val="61326158"/>
    <w:rsid w:val="697B250F"/>
    <w:rsid w:val="735F53B2"/>
    <w:rsid w:val="73EC6245"/>
    <w:rsid w:val="74E96F06"/>
    <w:rsid w:val="776A2ABB"/>
    <w:rsid w:val="7AAA7231"/>
    <w:rsid w:val="7C440673"/>
    <w:rsid w:val="7CA82E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eastAsia="仿宋_GB2312"/>
      <w:spacing w:val="-6"/>
      <w:kern w:val="2"/>
      <w:sz w:val="32"/>
      <w:lang w:val="en-US" w:eastAsia="zh-CN"/>
    </w:rPr>
  </w:style>
  <w:style w:type="character" w:default="1" w:styleId="5">
    <w:name w:val="Default Paragraph Fon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989;.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函.doc</Template>
  <Pages>1</Pages>
  <Words>5</Words>
  <Characters>35</Characters>
  <Lines>1</Lines>
  <Paragraphs>1</Paragraphs>
  <TotalTime>0</TotalTime>
  <ScaleCrop>false</ScaleCrop>
  <LinksUpToDate>false</LinksUpToDate>
  <CharactersWithSpaces>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2008-11-01T16:41:00Z</dcterms:created>
  <dc:creator>TDG</dc:creator>
  <cp:lastModifiedBy>Administrator</cp:lastModifiedBy>
  <cp:lastPrinted>2022-02-18T01:38:34Z</cp:lastPrinted>
  <dcterms:modified xsi:type="dcterms:W3CDTF">2022-02-18T02:25:40Z</dcterms:modified>
  <dc:title>Normal.wpt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DB9EB2D5978049A8802B3813A319D37A</vt:lpwstr>
  </property>
</Properties>
</file>